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D1" w:rsidRPr="00042DC8" w:rsidRDefault="00042DC8" w:rsidP="006A1706">
      <w:pPr>
        <w:spacing w:after="0"/>
        <w:jc w:val="center"/>
        <w:rPr>
          <w:rFonts w:ascii="Arial" w:hAnsi="Arial" w:cs="Arial"/>
          <w:b/>
          <w:u w:val="single"/>
        </w:rPr>
      </w:pPr>
      <w:r w:rsidRPr="00042DC8">
        <w:rPr>
          <w:rFonts w:ascii="Arial" w:hAnsi="Arial" w:cs="Arial"/>
          <w:b/>
          <w:u w:val="single"/>
        </w:rPr>
        <w:t>TENDRING DISTRICT COU</w:t>
      </w:r>
      <w:bookmarkStart w:id="0" w:name="_GoBack"/>
      <w:bookmarkEnd w:id="0"/>
      <w:r w:rsidRPr="00042DC8">
        <w:rPr>
          <w:rFonts w:ascii="Arial" w:hAnsi="Arial" w:cs="Arial"/>
          <w:b/>
          <w:u w:val="single"/>
        </w:rPr>
        <w:t>NCIL</w:t>
      </w:r>
    </w:p>
    <w:p w:rsidR="00042DC8" w:rsidRDefault="00042DC8" w:rsidP="006A1706">
      <w:pPr>
        <w:spacing w:after="0"/>
        <w:jc w:val="center"/>
        <w:rPr>
          <w:rFonts w:ascii="Arial" w:hAnsi="Arial" w:cs="Arial"/>
          <w:b/>
          <w:u w:val="single"/>
        </w:rPr>
      </w:pPr>
      <w:r w:rsidRPr="00042DC8">
        <w:rPr>
          <w:rFonts w:ascii="Arial" w:hAnsi="Arial" w:cs="Arial"/>
          <w:b/>
          <w:u w:val="single"/>
        </w:rPr>
        <w:t>HACKNEY CARRIAGE FARES</w:t>
      </w:r>
    </w:p>
    <w:p w:rsidR="006A1706" w:rsidRDefault="006A1706" w:rsidP="006A1706">
      <w:pPr>
        <w:spacing w:after="0"/>
        <w:jc w:val="both"/>
        <w:rPr>
          <w:rFonts w:ascii="Arial" w:hAnsi="Arial" w:cs="Arial"/>
          <w:b/>
          <w:u w:val="single"/>
        </w:rPr>
      </w:pPr>
    </w:p>
    <w:p w:rsidR="00042DC8" w:rsidRDefault="00042DC8" w:rsidP="006A1706">
      <w:pPr>
        <w:spacing w:after="0"/>
        <w:jc w:val="both"/>
        <w:rPr>
          <w:rFonts w:ascii="Arial" w:hAnsi="Arial" w:cs="Arial"/>
        </w:rPr>
      </w:pPr>
      <w:r w:rsidRPr="00042DC8">
        <w:rPr>
          <w:rFonts w:ascii="Arial" w:hAnsi="Arial" w:cs="Arial"/>
          <w:b/>
        </w:rPr>
        <w:t>TAKE NOTICE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that Tendring District Council propose to increase the maximum rate of fares in respect of </w:t>
      </w:r>
      <w:r w:rsidR="006A1706">
        <w:rPr>
          <w:rFonts w:ascii="Arial" w:hAnsi="Arial" w:cs="Arial"/>
        </w:rPr>
        <w:t xml:space="preserve">Licensed </w:t>
      </w:r>
      <w:r>
        <w:rPr>
          <w:rFonts w:ascii="Arial" w:hAnsi="Arial" w:cs="Arial"/>
        </w:rPr>
        <w:t>Hackney Carriage</w:t>
      </w:r>
      <w:r w:rsidR="006A170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plying for hire within the District of Tendring with effect from 30 May 2018 provided that no objections are received or that those objections have been withdrawn.</w:t>
      </w:r>
      <w:r w:rsidR="006C1877">
        <w:rPr>
          <w:rFonts w:ascii="Arial" w:hAnsi="Arial" w:cs="Arial"/>
        </w:rPr>
        <w:t xml:space="preserve">  Objections must be received by 02 May 2018.</w:t>
      </w:r>
      <w:r>
        <w:rPr>
          <w:rFonts w:ascii="Arial" w:hAnsi="Arial" w:cs="Arial"/>
        </w:rPr>
        <w:t xml:space="preserve">  The new maximum rate of fares will be as advertised </w:t>
      </w:r>
      <w:r w:rsidR="006C1877">
        <w:rPr>
          <w:rFonts w:ascii="Arial" w:hAnsi="Arial" w:cs="Arial"/>
        </w:rPr>
        <w:t>on 19 Apr 2018</w:t>
      </w:r>
      <w:r w:rsidR="00226435">
        <w:rPr>
          <w:rFonts w:ascii="Arial" w:hAnsi="Arial" w:cs="Arial"/>
        </w:rPr>
        <w:t xml:space="preserve"> with the following increases:-</w:t>
      </w:r>
    </w:p>
    <w:p w:rsidR="00226435" w:rsidRDefault="00226435" w:rsidP="006A1706">
      <w:pPr>
        <w:spacing w:after="0"/>
        <w:jc w:val="both"/>
        <w:rPr>
          <w:rFonts w:ascii="Arial" w:hAnsi="Arial" w:cs="Arial"/>
        </w:rPr>
      </w:pPr>
    </w:p>
    <w:p w:rsidR="00226435" w:rsidRDefault="00226435" w:rsidP="006A170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u w:val="single"/>
        </w:rPr>
      </w:pPr>
      <w:r w:rsidRPr="00226435">
        <w:rPr>
          <w:rFonts w:ascii="Arial" w:hAnsi="Arial" w:cs="Arial"/>
          <w:b/>
          <w:u w:val="single"/>
        </w:rPr>
        <w:t>MILEAGE</w:t>
      </w:r>
    </w:p>
    <w:p w:rsidR="00226435" w:rsidRPr="00226435" w:rsidRDefault="006C1877" w:rsidP="006A170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If the distance does not 200</w:t>
      </w:r>
      <w:r w:rsidR="00226435" w:rsidRPr="00226435">
        <w:rPr>
          <w:rFonts w:ascii="Arial" w:hAnsi="Arial" w:cs="Arial"/>
        </w:rPr>
        <w:t xml:space="preserve"> yards</w:t>
      </w:r>
      <w:r w:rsidR="00226435">
        <w:rPr>
          <w:rFonts w:ascii="Arial" w:hAnsi="Arial" w:cs="Arial"/>
        </w:rPr>
        <w:t xml:space="preserve"> </w:t>
      </w:r>
      <w:r w:rsidR="00226435" w:rsidRPr="00226435">
        <w:rPr>
          <w:rFonts w:ascii="Arial" w:hAnsi="Arial" w:cs="Arial"/>
        </w:rPr>
        <w:t>for the whole distance</w:t>
      </w:r>
      <w:r w:rsidR="00226435">
        <w:rPr>
          <w:rFonts w:ascii="Arial" w:hAnsi="Arial" w:cs="Arial"/>
        </w:rPr>
        <w:tab/>
      </w:r>
      <w:r w:rsidR="00226435">
        <w:rPr>
          <w:rFonts w:ascii="Arial" w:hAnsi="Arial" w:cs="Arial"/>
        </w:rPr>
        <w:tab/>
        <w:t>£3.00</w:t>
      </w:r>
    </w:p>
    <w:p w:rsidR="00226435" w:rsidRDefault="006C1877" w:rsidP="006A170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If the distance exceeds 200 yards for the first 200</w:t>
      </w:r>
      <w:r w:rsidR="00226435">
        <w:rPr>
          <w:rFonts w:ascii="Arial" w:hAnsi="Arial" w:cs="Arial"/>
        </w:rPr>
        <w:t xml:space="preserve"> yards</w:t>
      </w:r>
      <w:r w:rsidR="00226435">
        <w:rPr>
          <w:rFonts w:ascii="Arial" w:hAnsi="Arial" w:cs="Arial"/>
        </w:rPr>
        <w:tab/>
      </w:r>
      <w:r w:rsidR="00226435">
        <w:rPr>
          <w:rFonts w:ascii="Arial" w:hAnsi="Arial" w:cs="Arial"/>
        </w:rPr>
        <w:tab/>
        <w:t>£3.20</w:t>
      </w:r>
    </w:p>
    <w:p w:rsidR="00226435" w:rsidRDefault="006C1877" w:rsidP="006A170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For each subsequent 200</w:t>
      </w:r>
      <w:r w:rsidR="00226435">
        <w:rPr>
          <w:rFonts w:ascii="Arial" w:hAnsi="Arial" w:cs="Arial"/>
        </w:rPr>
        <w:t xml:space="preserve"> yards or uncompleted part thereof</w:t>
      </w:r>
      <w:r w:rsidR="00226435">
        <w:rPr>
          <w:rFonts w:ascii="Arial" w:hAnsi="Arial" w:cs="Arial"/>
        </w:rPr>
        <w:tab/>
      </w:r>
      <w:r w:rsidR="00226435">
        <w:rPr>
          <w:rFonts w:ascii="Arial" w:hAnsi="Arial" w:cs="Arial"/>
        </w:rPr>
        <w:tab/>
        <w:t>£0.20</w:t>
      </w:r>
    </w:p>
    <w:p w:rsidR="009314DA" w:rsidRDefault="00226435" w:rsidP="009314DA">
      <w:pPr>
        <w:pStyle w:val="ListParagraph"/>
        <w:spacing w:after="0"/>
        <w:ind w:left="1080"/>
        <w:rPr>
          <w:rFonts w:ascii="Arial" w:hAnsi="Arial" w:cs="Arial"/>
        </w:rPr>
      </w:pPr>
      <w:r>
        <w:rPr>
          <w:rFonts w:ascii="Arial" w:hAnsi="Arial" w:cs="Arial"/>
        </w:rPr>
        <w:t>In addition to (b) above</w:t>
      </w:r>
    </w:p>
    <w:p w:rsidR="00226435" w:rsidRDefault="00226435" w:rsidP="006A1706">
      <w:pPr>
        <w:pStyle w:val="ListParagraph"/>
        <w:spacing w:after="0"/>
        <w:ind w:left="1080"/>
        <w:rPr>
          <w:rFonts w:ascii="Arial" w:hAnsi="Arial" w:cs="Arial"/>
        </w:rPr>
      </w:pPr>
    </w:p>
    <w:p w:rsidR="00226435" w:rsidRPr="00226435" w:rsidRDefault="00226435" w:rsidP="006A170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u w:val="single"/>
        </w:rPr>
      </w:pPr>
      <w:r w:rsidRPr="00226435">
        <w:rPr>
          <w:rFonts w:ascii="Arial" w:hAnsi="Arial" w:cs="Arial"/>
          <w:b/>
          <w:u w:val="single"/>
        </w:rPr>
        <w:t>WAITING TIME</w:t>
      </w:r>
    </w:p>
    <w:p w:rsidR="00226435" w:rsidRDefault="00226435" w:rsidP="006A1706">
      <w:pPr>
        <w:pStyle w:val="ListParagraph"/>
        <w:spacing w:after="0"/>
        <w:rPr>
          <w:rFonts w:ascii="Arial" w:hAnsi="Arial" w:cs="Arial"/>
        </w:rPr>
      </w:pPr>
      <w:r w:rsidRPr="00226435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</w:t>
      </w:r>
      <w:r w:rsidR="006C1877">
        <w:rPr>
          <w:rFonts w:ascii="Arial" w:hAnsi="Arial" w:cs="Arial"/>
        </w:rPr>
        <w:t>each period of 60</w:t>
      </w:r>
      <w:r>
        <w:rPr>
          <w:rFonts w:ascii="Arial" w:hAnsi="Arial" w:cs="Arial"/>
        </w:rPr>
        <w:t xml:space="preserve"> second or uncompleted part thereof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£0.20</w:t>
      </w:r>
    </w:p>
    <w:p w:rsidR="009314DA" w:rsidRDefault="009314DA" w:rsidP="009314DA">
      <w:pPr>
        <w:spacing w:after="0"/>
        <w:rPr>
          <w:rFonts w:ascii="Arial" w:hAnsi="Arial" w:cs="Arial"/>
        </w:rPr>
      </w:pPr>
    </w:p>
    <w:p w:rsidR="009314DA" w:rsidRDefault="009314DA" w:rsidP="009314D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See the comparison fare table showing the effect of the tariff changes:</w:t>
      </w:r>
    </w:p>
    <w:p w:rsidR="009314DA" w:rsidRDefault="009314DA" w:rsidP="009314DA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9314DA" w:rsidRPr="009314DA" w:rsidTr="001B094B">
        <w:tc>
          <w:tcPr>
            <w:tcW w:w="2310" w:type="dxa"/>
          </w:tcPr>
          <w:p w:rsidR="009314DA" w:rsidRPr="009314DA" w:rsidRDefault="009314DA" w:rsidP="009314DA">
            <w:pPr>
              <w:jc w:val="center"/>
              <w:rPr>
                <w:rFonts w:ascii="Arial" w:hAnsi="Arial" w:cs="Arial"/>
                <w:b/>
              </w:rPr>
            </w:pPr>
            <w:r w:rsidRPr="009314DA">
              <w:rPr>
                <w:rFonts w:ascii="Arial" w:hAnsi="Arial" w:cs="Arial"/>
                <w:b/>
              </w:rPr>
              <w:t>Distance</w:t>
            </w:r>
          </w:p>
        </w:tc>
        <w:tc>
          <w:tcPr>
            <w:tcW w:w="2310" w:type="dxa"/>
          </w:tcPr>
          <w:p w:rsidR="009314DA" w:rsidRPr="009314DA" w:rsidRDefault="009314DA" w:rsidP="009314DA">
            <w:pPr>
              <w:jc w:val="center"/>
              <w:rPr>
                <w:rFonts w:ascii="Arial" w:hAnsi="Arial" w:cs="Arial"/>
                <w:b/>
              </w:rPr>
            </w:pPr>
            <w:r w:rsidRPr="009314DA">
              <w:rPr>
                <w:rFonts w:ascii="Arial" w:hAnsi="Arial" w:cs="Arial"/>
                <w:b/>
              </w:rPr>
              <w:t>Current Tariff</w:t>
            </w:r>
          </w:p>
          <w:p w:rsidR="009314DA" w:rsidRPr="009314DA" w:rsidRDefault="009314DA" w:rsidP="009314DA">
            <w:pPr>
              <w:jc w:val="center"/>
              <w:rPr>
                <w:rFonts w:ascii="Arial" w:hAnsi="Arial" w:cs="Arial"/>
                <w:b/>
              </w:rPr>
            </w:pPr>
            <w:r w:rsidRPr="009314DA">
              <w:rPr>
                <w:rFonts w:ascii="Arial" w:hAnsi="Arial" w:cs="Arial"/>
                <w:b/>
              </w:rPr>
              <w:t>£</w:t>
            </w:r>
          </w:p>
        </w:tc>
        <w:tc>
          <w:tcPr>
            <w:tcW w:w="2311" w:type="dxa"/>
          </w:tcPr>
          <w:p w:rsidR="009314DA" w:rsidRPr="009314DA" w:rsidRDefault="009314DA" w:rsidP="009314DA">
            <w:pPr>
              <w:jc w:val="center"/>
              <w:rPr>
                <w:rFonts w:ascii="Arial" w:hAnsi="Arial" w:cs="Arial"/>
                <w:b/>
              </w:rPr>
            </w:pPr>
            <w:r w:rsidRPr="009314DA">
              <w:rPr>
                <w:rFonts w:ascii="Arial" w:hAnsi="Arial" w:cs="Arial"/>
                <w:b/>
              </w:rPr>
              <w:t>New Tariff</w:t>
            </w:r>
          </w:p>
          <w:p w:rsidR="009314DA" w:rsidRPr="009314DA" w:rsidRDefault="009314DA" w:rsidP="009314DA">
            <w:pPr>
              <w:jc w:val="center"/>
              <w:rPr>
                <w:rFonts w:ascii="Arial" w:hAnsi="Arial" w:cs="Arial"/>
                <w:b/>
              </w:rPr>
            </w:pPr>
            <w:r w:rsidRPr="009314DA">
              <w:rPr>
                <w:rFonts w:ascii="Arial" w:hAnsi="Arial" w:cs="Arial"/>
                <w:b/>
              </w:rPr>
              <w:t>£</w:t>
            </w:r>
          </w:p>
        </w:tc>
        <w:tc>
          <w:tcPr>
            <w:tcW w:w="2311" w:type="dxa"/>
          </w:tcPr>
          <w:p w:rsidR="009314DA" w:rsidRPr="009314DA" w:rsidRDefault="009314DA" w:rsidP="009314DA">
            <w:pPr>
              <w:jc w:val="center"/>
              <w:rPr>
                <w:rFonts w:ascii="Arial" w:hAnsi="Arial" w:cs="Arial"/>
                <w:b/>
              </w:rPr>
            </w:pPr>
            <w:r w:rsidRPr="009314DA">
              <w:rPr>
                <w:rFonts w:ascii="Arial" w:hAnsi="Arial" w:cs="Arial"/>
                <w:b/>
              </w:rPr>
              <w:t>Cost</w:t>
            </w:r>
          </w:p>
          <w:p w:rsidR="009314DA" w:rsidRPr="009314DA" w:rsidRDefault="009314DA" w:rsidP="009314DA">
            <w:pPr>
              <w:jc w:val="center"/>
              <w:rPr>
                <w:rFonts w:ascii="Arial" w:hAnsi="Arial" w:cs="Arial"/>
                <w:b/>
              </w:rPr>
            </w:pPr>
            <w:r w:rsidRPr="009314DA">
              <w:rPr>
                <w:rFonts w:ascii="Arial" w:hAnsi="Arial" w:cs="Arial"/>
                <w:b/>
              </w:rPr>
              <w:t>£</w:t>
            </w:r>
          </w:p>
        </w:tc>
      </w:tr>
      <w:tr w:rsidR="009314DA" w:rsidRPr="009314DA" w:rsidTr="001B094B">
        <w:tc>
          <w:tcPr>
            <w:tcW w:w="2310" w:type="dxa"/>
          </w:tcPr>
          <w:p w:rsidR="009314DA" w:rsidRPr="009314DA" w:rsidRDefault="009314DA" w:rsidP="009314DA">
            <w:pPr>
              <w:jc w:val="center"/>
              <w:rPr>
                <w:rFonts w:ascii="Arial" w:hAnsi="Arial" w:cs="Arial"/>
                <w:b/>
              </w:rPr>
            </w:pPr>
          </w:p>
          <w:p w:rsidR="009314DA" w:rsidRPr="009314DA" w:rsidRDefault="009314DA" w:rsidP="009314DA">
            <w:pPr>
              <w:jc w:val="center"/>
              <w:rPr>
                <w:rFonts w:ascii="Arial" w:hAnsi="Arial" w:cs="Arial"/>
                <w:b/>
              </w:rPr>
            </w:pPr>
            <w:r w:rsidRPr="009314DA">
              <w:rPr>
                <w:rFonts w:ascii="Arial" w:hAnsi="Arial" w:cs="Arial"/>
                <w:b/>
              </w:rPr>
              <w:t>1 mile</w:t>
            </w:r>
          </w:p>
          <w:p w:rsidR="009314DA" w:rsidRPr="009314DA" w:rsidRDefault="009314DA" w:rsidP="009314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0" w:type="dxa"/>
          </w:tcPr>
          <w:p w:rsidR="009314DA" w:rsidRPr="009314DA" w:rsidRDefault="009314DA" w:rsidP="009314DA">
            <w:pPr>
              <w:jc w:val="center"/>
              <w:rPr>
                <w:rFonts w:ascii="Arial" w:hAnsi="Arial" w:cs="Arial"/>
                <w:b/>
              </w:rPr>
            </w:pPr>
          </w:p>
          <w:p w:rsidR="009314DA" w:rsidRPr="009314DA" w:rsidRDefault="009314DA" w:rsidP="009314DA">
            <w:pPr>
              <w:jc w:val="center"/>
              <w:rPr>
                <w:rFonts w:ascii="Arial" w:hAnsi="Arial" w:cs="Arial"/>
                <w:b/>
              </w:rPr>
            </w:pPr>
            <w:r w:rsidRPr="009314DA">
              <w:rPr>
                <w:rFonts w:ascii="Arial" w:hAnsi="Arial" w:cs="Arial"/>
                <w:b/>
              </w:rPr>
              <w:t>4.40</w:t>
            </w:r>
          </w:p>
        </w:tc>
        <w:tc>
          <w:tcPr>
            <w:tcW w:w="2311" w:type="dxa"/>
          </w:tcPr>
          <w:p w:rsidR="009314DA" w:rsidRPr="009314DA" w:rsidRDefault="009314DA" w:rsidP="009314DA">
            <w:pPr>
              <w:jc w:val="center"/>
              <w:rPr>
                <w:rFonts w:ascii="Arial" w:hAnsi="Arial" w:cs="Arial"/>
                <w:b/>
              </w:rPr>
            </w:pPr>
          </w:p>
          <w:p w:rsidR="009314DA" w:rsidRPr="009314DA" w:rsidRDefault="009314DA" w:rsidP="009314DA">
            <w:pPr>
              <w:jc w:val="center"/>
              <w:rPr>
                <w:rFonts w:ascii="Arial" w:hAnsi="Arial" w:cs="Arial"/>
                <w:b/>
              </w:rPr>
            </w:pPr>
            <w:r w:rsidRPr="009314DA">
              <w:rPr>
                <w:rFonts w:ascii="Arial" w:hAnsi="Arial" w:cs="Arial"/>
                <w:b/>
              </w:rPr>
              <w:t>4.60</w:t>
            </w:r>
          </w:p>
        </w:tc>
        <w:tc>
          <w:tcPr>
            <w:tcW w:w="2311" w:type="dxa"/>
          </w:tcPr>
          <w:p w:rsidR="009314DA" w:rsidRPr="009314DA" w:rsidRDefault="009314DA" w:rsidP="009314DA">
            <w:pPr>
              <w:jc w:val="center"/>
              <w:rPr>
                <w:rFonts w:ascii="Arial" w:hAnsi="Arial" w:cs="Arial"/>
                <w:b/>
              </w:rPr>
            </w:pPr>
          </w:p>
          <w:p w:rsidR="009314DA" w:rsidRPr="009314DA" w:rsidRDefault="009314DA" w:rsidP="009314DA">
            <w:pPr>
              <w:jc w:val="center"/>
              <w:rPr>
                <w:rFonts w:ascii="Arial" w:hAnsi="Arial" w:cs="Arial"/>
                <w:b/>
              </w:rPr>
            </w:pPr>
            <w:r w:rsidRPr="009314DA">
              <w:rPr>
                <w:rFonts w:ascii="Arial" w:hAnsi="Arial" w:cs="Arial"/>
                <w:b/>
              </w:rPr>
              <w:t>↑4.54%</w:t>
            </w:r>
          </w:p>
        </w:tc>
      </w:tr>
      <w:tr w:rsidR="009314DA" w:rsidRPr="009314DA" w:rsidTr="001B094B">
        <w:tc>
          <w:tcPr>
            <w:tcW w:w="2310" w:type="dxa"/>
          </w:tcPr>
          <w:p w:rsidR="009314DA" w:rsidRPr="009314DA" w:rsidRDefault="009314DA" w:rsidP="009314DA">
            <w:pPr>
              <w:jc w:val="center"/>
              <w:rPr>
                <w:rFonts w:ascii="Arial" w:hAnsi="Arial" w:cs="Arial"/>
                <w:b/>
              </w:rPr>
            </w:pPr>
          </w:p>
          <w:p w:rsidR="009314DA" w:rsidRPr="009314DA" w:rsidRDefault="009314DA" w:rsidP="009314DA">
            <w:pPr>
              <w:jc w:val="center"/>
              <w:rPr>
                <w:rFonts w:ascii="Arial" w:hAnsi="Arial" w:cs="Arial"/>
                <w:b/>
              </w:rPr>
            </w:pPr>
            <w:r w:rsidRPr="009314DA">
              <w:rPr>
                <w:rFonts w:ascii="Arial" w:hAnsi="Arial" w:cs="Arial"/>
                <w:b/>
              </w:rPr>
              <w:t>2 miles</w:t>
            </w:r>
          </w:p>
          <w:p w:rsidR="009314DA" w:rsidRPr="009314DA" w:rsidRDefault="009314DA" w:rsidP="009314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0" w:type="dxa"/>
          </w:tcPr>
          <w:p w:rsidR="009314DA" w:rsidRPr="009314DA" w:rsidRDefault="009314DA" w:rsidP="009314DA">
            <w:pPr>
              <w:jc w:val="center"/>
              <w:rPr>
                <w:rFonts w:ascii="Arial" w:hAnsi="Arial" w:cs="Arial"/>
                <w:b/>
              </w:rPr>
            </w:pPr>
          </w:p>
          <w:p w:rsidR="009314DA" w:rsidRPr="009314DA" w:rsidRDefault="009314DA" w:rsidP="009314DA">
            <w:pPr>
              <w:jc w:val="center"/>
              <w:rPr>
                <w:rFonts w:ascii="Arial" w:hAnsi="Arial" w:cs="Arial"/>
                <w:b/>
              </w:rPr>
            </w:pPr>
            <w:r w:rsidRPr="009314DA">
              <w:rPr>
                <w:rFonts w:ascii="Arial" w:hAnsi="Arial" w:cs="Arial"/>
                <w:b/>
              </w:rPr>
              <w:t>5.95</w:t>
            </w:r>
          </w:p>
        </w:tc>
        <w:tc>
          <w:tcPr>
            <w:tcW w:w="2311" w:type="dxa"/>
          </w:tcPr>
          <w:p w:rsidR="009314DA" w:rsidRPr="009314DA" w:rsidRDefault="009314DA" w:rsidP="009314DA">
            <w:pPr>
              <w:jc w:val="center"/>
              <w:rPr>
                <w:rFonts w:ascii="Arial" w:hAnsi="Arial" w:cs="Arial"/>
                <w:b/>
              </w:rPr>
            </w:pPr>
          </w:p>
          <w:p w:rsidR="009314DA" w:rsidRPr="009314DA" w:rsidRDefault="009314DA" w:rsidP="009314DA">
            <w:pPr>
              <w:jc w:val="center"/>
              <w:rPr>
                <w:rFonts w:ascii="Arial" w:hAnsi="Arial" w:cs="Arial"/>
                <w:b/>
              </w:rPr>
            </w:pPr>
            <w:r w:rsidRPr="009314DA">
              <w:rPr>
                <w:rFonts w:ascii="Arial" w:hAnsi="Arial" w:cs="Arial"/>
                <w:b/>
              </w:rPr>
              <w:t>6.40</w:t>
            </w:r>
          </w:p>
        </w:tc>
        <w:tc>
          <w:tcPr>
            <w:tcW w:w="2311" w:type="dxa"/>
          </w:tcPr>
          <w:p w:rsidR="009314DA" w:rsidRPr="009314DA" w:rsidRDefault="009314DA" w:rsidP="009314DA">
            <w:pPr>
              <w:jc w:val="center"/>
              <w:rPr>
                <w:rFonts w:ascii="Arial" w:hAnsi="Arial" w:cs="Arial"/>
                <w:b/>
              </w:rPr>
            </w:pPr>
          </w:p>
          <w:p w:rsidR="009314DA" w:rsidRPr="009314DA" w:rsidRDefault="009314DA" w:rsidP="009314DA">
            <w:pPr>
              <w:jc w:val="center"/>
              <w:rPr>
                <w:rFonts w:ascii="Arial" w:hAnsi="Arial" w:cs="Arial"/>
                <w:b/>
              </w:rPr>
            </w:pPr>
            <w:r w:rsidRPr="009314DA">
              <w:rPr>
                <w:rFonts w:ascii="Arial" w:hAnsi="Arial" w:cs="Arial"/>
                <w:b/>
              </w:rPr>
              <w:t>↑4.54%</w:t>
            </w:r>
          </w:p>
        </w:tc>
      </w:tr>
      <w:tr w:rsidR="009314DA" w:rsidRPr="009314DA" w:rsidTr="001B094B">
        <w:tc>
          <w:tcPr>
            <w:tcW w:w="2310" w:type="dxa"/>
          </w:tcPr>
          <w:p w:rsidR="009314DA" w:rsidRPr="009314DA" w:rsidRDefault="009314DA" w:rsidP="009314DA">
            <w:pPr>
              <w:jc w:val="center"/>
              <w:rPr>
                <w:rFonts w:ascii="Arial" w:hAnsi="Arial" w:cs="Arial"/>
                <w:b/>
              </w:rPr>
            </w:pPr>
          </w:p>
          <w:p w:rsidR="009314DA" w:rsidRPr="009314DA" w:rsidRDefault="009314DA" w:rsidP="009314DA">
            <w:pPr>
              <w:jc w:val="center"/>
              <w:rPr>
                <w:rFonts w:ascii="Arial" w:hAnsi="Arial" w:cs="Arial"/>
                <w:b/>
              </w:rPr>
            </w:pPr>
            <w:r w:rsidRPr="009314DA">
              <w:rPr>
                <w:rFonts w:ascii="Arial" w:hAnsi="Arial" w:cs="Arial"/>
                <w:b/>
              </w:rPr>
              <w:t>3 miles</w:t>
            </w:r>
          </w:p>
          <w:p w:rsidR="009314DA" w:rsidRPr="009314DA" w:rsidRDefault="009314DA" w:rsidP="009314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0" w:type="dxa"/>
          </w:tcPr>
          <w:p w:rsidR="009314DA" w:rsidRPr="009314DA" w:rsidRDefault="009314DA" w:rsidP="009314DA">
            <w:pPr>
              <w:jc w:val="center"/>
              <w:rPr>
                <w:rFonts w:ascii="Arial" w:hAnsi="Arial" w:cs="Arial"/>
                <w:b/>
              </w:rPr>
            </w:pPr>
          </w:p>
          <w:p w:rsidR="009314DA" w:rsidRPr="009314DA" w:rsidRDefault="009314DA" w:rsidP="009314DA">
            <w:pPr>
              <w:jc w:val="center"/>
              <w:rPr>
                <w:rFonts w:ascii="Arial" w:hAnsi="Arial" w:cs="Arial"/>
                <w:b/>
              </w:rPr>
            </w:pPr>
            <w:r w:rsidRPr="009314DA">
              <w:rPr>
                <w:rFonts w:ascii="Arial" w:hAnsi="Arial" w:cs="Arial"/>
                <w:b/>
              </w:rPr>
              <w:t>7.70</w:t>
            </w:r>
          </w:p>
        </w:tc>
        <w:tc>
          <w:tcPr>
            <w:tcW w:w="2311" w:type="dxa"/>
          </w:tcPr>
          <w:p w:rsidR="009314DA" w:rsidRPr="009314DA" w:rsidRDefault="009314DA" w:rsidP="009314DA">
            <w:pPr>
              <w:jc w:val="center"/>
              <w:rPr>
                <w:rFonts w:ascii="Arial" w:hAnsi="Arial" w:cs="Arial"/>
                <w:b/>
              </w:rPr>
            </w:pPr>
          </w:p>
          <w:p w:rsidR="009314DA" w:rsidRPr="009314DA" w:rsidRDefault="009314DA" w:rsidP="009314DA">
            <w:pPr>
              <w:jc w:val="center"/>
              <w:rPr>
                <w:rFonts w:ascii="Arial" w:hAnsi="Arial" w:cs="Arial"/>
                <w:b/>
              </w:rPr>
            </w:pPr>
            <w:r w:rsidRPr="009314DA">
              <w:rPr>
                <w:rFonts w:ascii="Arial" w:hAnsi="Arial" w:cs="Arial"/>
                <w:b/>
              </w:rPr>
              <w:t>8.20</w:t>
            </w:r>
          </w:p>
        </w:tc>
        <w:tc>
          <w:tcPr>
            <w:tcW w:w="2311" w:type="dxa"/>
          </w:tcPr>
          <w:p w:rsidR="009314DA" w:rsidRPr="009314DA" w:rsidRDefault="009314DA" w:rsidP="009314DA">
            <w:pPr>
              <w:jc w:val="center"/>
              <w:rPr>
                <w:rFonts w:ascii="Arial" w:hAnsi="Arial" w:cs="Arial"/>
                <w:b/>
              </w:rPr>
            </w:pPr>
          </w:p>
          <w:p w:rsidR="009314DA" w:rsidRPr="009314DA" w:rsidRDefault="009314DA" w:rsidP="009314DA">
            <w:pPr>
              <w:jc w:val="center"/>
              <w:rPr>
                <w:rFonts w:ascii="Arial" w:hAnsi="Arial" w:cs="Arial"/>
                <w:b/>
              </w:rPr>
            </w:pPr>
            <w:r w:rsidRPr="009314DA">
              <w:rPr>
                <w:rFonts w:ascii="Arial" w:hAnsi="Arial" w:cs="Arial"/>
                <w:b/>
              </w:rPr>
              <w:t>↑6.49%</w:t>
            </w:r>
          </w:p>
        </w:tc>
      </w:tr>
      <w:tr w:rsidR="009314DA" w:rsidRPr="009314DA" w:rsidTr="001B094B">
        <w:tc>
          <w:tcPr>
            <w:tcW w:w="2310" w:type="dxa"/>
            <w:vAlign w:val="center"/>
          </w:tcPr>
          <w:p w:rsidR="009314DA" w:rsidRPr="009314DA" w:rsidRDefault="009314DA" w:rsidP="009314DA">
            <w:pPr>
              <w:jc w:val="center"/>
              <w:rPr>
                <w:rFonts w:ascii="Arial" w:hAnsi="Arial" w:cs="Arial"/>
                <w:b/>
              </w:rPr>
            </w:pPr>
            <w:r w:rsidRPr="009314DA">
              <w:rPr>
                <w:rFonts w:ascii="Arial" w:hAnsi="Arial" w:cs="Arial"/>
                <w:b/>
              </w:rPr>
              <w:t xml:space="preserve">Each subsequent </w:t>
            </w:r>
            <w:r>
              <w:rPr>
                <w:rFonts w:ascii="Arial" w:hAnsi="Arial" w:cs="Arial"/>
                <w:b/>
              </w:rPr>
              <w:t>200</w:t>
            </w:r>
            <w:r w:rsidRPr="009314DA">
              <w:rPr>
                <w:rFonts w:ascii="Arial" w:hAnsi="Arial" w:cs="Arial"/>
                <w:b/>
              </w:rPr>
              <w:t xml:space="preserve"> yards or part thereof</w:t>
            </w:r>
          </w:p>
        </w:tc>
        <w:tc>
          <w:tcPr>
            <w:tcW w:w="2310" w:type="dxa"/>
            <w:vAlign w:val="center"/>
          </w:tcPr>
          <w:p w:rsidR="009314DA" w:rsidRPr="009314DA" w:rsidRDefault="009314DA" w:rsidP="009314DA">
            <w:pPr>
              <w:jc w:val="center"/>
              <w:rPr>
                <w:rFonts w:ascii="Arial" w:hAnsi="Arial" w:cs="Arial"/>
                <w:b/>
              </w:rPr>
            </w:pPr>
            <w:r w:rsidRPr="009314DA">
              <w:rPr>
                <w:rFonts w:ascii="Arial" w:hAnsi="Arial" w:cs="Arial"/>
                <w:b/>
              </w:rPr>
              <w:t>0.19</w:t>
            </w:r>
          </w:p>
        </w:tc>
        <w:tc>
          <w:tcPr>
            <w:tcW w:w="2311" w:type="dxa"/>
            <w:vAlign w:val="center"/>
          </w:tcPr>
          <w:p w:rsidR="009314DA" w:rsidRPr="009314DA" w:rsidRDefault="009314DA" w:rsidP="009314DA">
            <w:pPr>
              <w:jc w:val="center"/>
              <w:rPr>
                <w:rFonts w:ascii="Arial" w:hAnsi="Arial" w:cs="Arial"/>
                <w:b/>
              </w:rPr>
            </w:pPr>
            <w:r w:rsidRPr="009314DA">
              <w:rPr>
                <w:rFonts w:ascii="Arial" w:hAnsi="Arial" w:cs="Arial"/>
                <w:b/>
              </w:rPr>
              <w:t>0.20</w:t>
            </w:r>
          </w:p>
        </w:tc>
        <w:tc>
          <w:tcPr>
            <w:tcW w:w="2311" w:type="dxa"/>
            <w:vAlign w:val="center"/>
          </w:tcPr>
          <w:p w:rsidR="009314DA" w:rsidRPr="009314DA" w:rsidRDefault="009314DA" w:rsidP="009314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↑5.15</w:t>
            </w:r>
            <w:r w:rsidRPr="009314DA">
              <w:rPr>
                <w:rFonts w:ascii="Arial" w:hAnsi="Arial" w:cs="Arial"/>
                <w:b/>
              </w:rPr>
              <w:t>%</w:t>
            </w:r>
          </w:p>
        </w:tc>
      </w:tr>
      <w:tr w:rsidR="009314DA" w:rsidRPr="009314DA" w:rsidTr="001B094B">
        <w:tc>
          <w:tcPr>
            <w:tcW w:w="2310" w:type="dxa"/>
            <w:vAlign w:val="center"/>
          </w:tcPr>
          <w:p w:rsidR="009314DA" w:rsidRPr="009314DA" w:rsidRDefault="009314DA" w:rsidP="009314DA">
            <w:pPr>
              <w:jc w:val="center"/>
              <w:rPr>
                <w:rFonts w:ascii="Arial" w:hAnsi="Arial" w:cs="Arial"/>
                <w:b/>
              </w:rPr>
            </w:pPr>
          </w:p>
          <w:p w:rsidR="009314DA" w:rsidRPr="009314DA" w:rsidRDefault="009314DA" w:rsidP="009314DA">
            <w:pPr>
              <w:jc w:val="center"/>
              <w:rPr>
                <w:rFonts w:ascii="Arial" w:hAnsi="Arial" w:cs="Arial"/>
                <w:b/>
              </w:rPr>
            </w:pPr>
            <w:r w:rsidRPr="009314DA">
              <w:rPr>
                <w:rFonts w:ascii="Arial" w:hAnsi="Arial" w:cs="Arial"/>
                <w:b/>
              </w:rPr>
              <w:t>Waiting Time</w:t>
            </w:r>
          </w:p>
          <w:p w:rsidR="009314DA" w:rsidRPr="009314DA" w:rsidRDefault="009314DA" w:rsidP="009314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[60</w:t>
            </w:r>
            <w:r w:rsidRPr="009314DA">
              <w:rPr>
                <w:rFonts w:ascii="Arial" w:hAnsi="Arial" w:cs="Arial"/>
                <w:b/>
              </w:rPr>
              <w:t xml:space="preserve"> Seconds]</w:t>
            </w:r>
          </w:p>
        </w:tc>
        <w:tc>
          <w:tcPr>
            <w:tcW w:w="2310" w:type="dxa"/>
            <w:vAlign w:val="center"/>
          </w:tcPr>
          <w:p w:rsidR="009314DA" w:rsidRPr="009314DA" w:rsidRDefault="009314DA" w:rsidP="009314DA">
            <w:pPr>
              <w:jc w:val="center"/>
              <w:rPr>
                <w:rFonts w:ascii="Arial" w:hAnsi="Arial" w:cs="Arial"/>
                <w:b/>
              </w:rPr>
            </w:pPr>
            <w:r w:rsidRPr="009314DA">
              <w:rPr>
                <w:rFonts w:ascii="Arial" w:hAnsi="Arial" w:cs="Arial"/>
                <w:b/>
              </w:rPr>
              <w:t>0.18</w:t>
            </w:r>
          </w:p>
        </w:tc>
        <w:tc>
          <w:tcPr>
            <w:tcW w:w="2311" w:type="dxa"/>
            <w:vAlign w:val="center"/>
          </w:tcPr>
          <w:p w:rsidR="009314DA" w:rsidRPr="009314DA" w:rsidRDefault="009314DA" w:rsidP="009314DA">
            <w:pPr>
              <w:jc w:val="center"/>
              <w:rPr>
                <w:rFonts w:ascii="Arial" w:hAnsi="Arial" w:cs="Arial"/>
                <w:b/>
              </w:rPr>
            </w:pPr>
            <w:r w:rsidRPr="009314DA">
              <w:rPr>
                <w:rFonts w:ascii="Arial" w:hAnsi="Arial" w:cs="Arial"/>
                <w:b/>
              </w:rPr>
              <w:t>0.20</w:t>
            </w:r>
          </w:p>
        </w:tc>
        <w:tc>
          <w:tcPr>
            <w:tcW w:w="2311" w:type="dxa"/>
            <w:vAlign w:val="center"/>
          </w:tcPr>
          <w:p w:rsidR="009314DA" w:rsidRPr="009314DA" w:rsidRDefault="009314DA" w:rsidP="009314DA">
            <w:pPr>
              <w:jc w:val="center"/>
              <w:rPr>
                <w:rFonts w:ascii="Arial" w:hAnsi="Arial" w:cs="Arial"/>
                <w:b/>
              </w:rPr>
            </w:pPr>
            <w:r w:rsidRPr="009314DA">
              <w:rPr>
                <w:rFonts w:ascii="Arial" w:hAnsi="Arial" w:cs="Arial"/>
                <w:b/>
              </w:rPr>
              <w:t>↑</w:t>
            </w:r>
            <w:r>
              <w:rPr>
                <w:rFonts w:ascii="Arial" w:hAnsi="Arial" w:cs="Arial"/>
                <w:b/>
              </w:rPr>
              <w:t>10.00</w:t>
            </w:r>
            <w:r w:rsidRPr="009314DA">
              <w:rPr>
                <w:rFonts w:ascii="Arial" w:hAnsi="Arial" w:cs="Arial"/>
                <w:b/>
              </w:rPr>
              <w:t>%</w:t>
            </w:r>
          </w:p>
        </w:tc>
      </w:tr>
    </w:tbl>
    <w:p w:rsidR="009314DA" w:rsidRDefault="009314DA" w:rsidP="009314DA">
      <w:pPr>
        <w:spacing w:after="0"/>
        <w:rPr>
          <w:rFonts w:ascii="Arial" w:hAnsi="Arial" w:cs="Arial"/>
        </w:rPr>
      </w:pPr>
    </w:p>
    <w:p w:rsidR="00226435" w:rsidRDefault="00226435" w:rsidP="006A17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 full table of the new fares will be on display on the Council’s website </w:t>
      </w:r>
      <w:hyperlink r:id="rId9" w:history="1">
        <w:r w:rsidRPr="008610EB">
          <w:rPr>
            <w:rStyle w:val="Hyperlink"/>
            <w:rFonts w:ascii="Arial" w:hAnsi="Arial" w:cs="Arial"/>
          </w:rPr>
          <w:t>www.tendringdc.gov.uk</w:t>
        </w:r>
      </w:hyperlink>
      <w:r>
        <w:rPr>
          <w:rFonts w:ascii="Arial" w:hAnsi="Arial" w:cs="Arial"/>
        </w:rPr>
        <w:t xml:space="preserve"> or at the Council Offices, 88-90 Pier Avenue, Clacton on Sea, Essex, CO15 1TN.</w:t>
      </w:r>
    </w:p>
    <w:p w:rsidR="006A1706" w:rsidRDefault="006A1706" w:rsidP="006A1706">
      <w:pPr>
        <w:spacing w:after="0"/>
        <w:rPr>
          <w:rFonts w:ascii="Arial" w:hAnsi="Arial" w:cs="Arial"/>
        </w:rPr>
      </w:pPr>
    </w:p>
    <w:p w:rsidR="00226435" w:rsidRDefault="00226435" w:rsidP="006A17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Any person wishing to object to the proposed rate of fares should submit details of their objection to the Corporate Director [Operational Services] at the address below to arrive not later than </w:t>
      </w:r>
      <w:r w:rsidR="00AA52D0">
        <w:rPr>
          <w:rFonts w:ascii="Arial" w:hAnsi="Arial" w:cs="Arial"/>
        </w:rPr>
        <w:t>2 May 2018</w:t>
      </w:r>
    </w:p>
    <w:p w:rsidR="006A1706" w:rsidRDefault="006A1706" w:rsidP="006A1706">
      <w:pPr>
        <w:spacing w:after="0"/>
        <w:rPr>
          <w:rFonts w:ascii="Arial" w:hAnsi="Arial" w:cs="Arial"/>
        </w:rPr>
      </w:pPr>
    </w:p>
    <w:p w:rsidR="006A1706" w:rsidRDefault="00AA52D0" w:rsidP="006A17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Dated 19 April 2018</w:t>
      </w:r>
      <w:r w:rsidR="006A1706">
        <w:rPr>
          <w:rFonts w:ascii="Arial" w:hAnsi="Arial" w:cs="Arial"/>
        </w:rPr>
        <w:tab/>
      </w:r>
      <w:r w:rsidR="006A1706">
        <w:rPr>
          <w:rFonts w:ascii="Arial" w:hAnsi="Arial" w:cs="Arial"/>
        </w:rPr>
        <w:tab/>
      </w:r>
      <w:r w:rsidR="006A1706">
        <w:rPr>
          <w:rFonts w:ascii="Arial" w:hAnsi="Arial" w:cs="Arial"/>
        </w:rPr>
        <w:tab/>
      </w:r>
      <w:r w:rsidR="006A1706">
        <w:rPr>
          <w:rFonts w:ascii="Arial" w:hAnsi="Arial" w:cs="Arial"/>
        </w:rPr>
        <w:tab/>
      </w:r>
      <w:r w:rsidR="006A1706">
        <w:rPr>
          <w:rFonts w:ascii="Arial" w:hAnsi="Arial" w:cs="Arial"/>
        </w:rPr>
        <w:tab/>
        <w:t>PAUL PRICE</w:t>
      </w:r>
    </w:p>
    <w:p w:rsidR="006A1706" w:rsidRDefault="006A1706" w:rsidP="006A17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CORPORATE DIRECTOR</w:t>
      </w:r>
    </w:p>
    <w:p w:rsidR="006A1706" w:rsidRDefault="006A1706" w:rsidP="006A17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Council Offices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[OPERATIONAL SERVICES]</w:t>
      </w:r>
    </w:p>
    <w:p w:rsidR="006A1706" w:rsidRDefault="006A1706" w:rsidP="006A17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88-90 Pier Avenue</w:t>
      </w:r>
    </w:p>
    <w:p w:rsidR="006A1706" w:rsidRDefault="006A1706" w:rsidP="006A17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Clacton on Sea</w:t>
      </w:r>
    </w:p>
    <w:p w:rsidR="006A1706" w:rsidRPr="00226435" w:rsidRDefault="006A1706" w:rsidP="006A17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Essex CO15 1TN</w:t>
      </w:r>
    </w:p>
    <w:sectPr w:rsidR="006A1706" w:rsidRPr="00226435" w:rsidSect="002954C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BE9" w:rsidRDefault="00C67BE9" w:rsidP="00042DC8">
      <w:pPr>
        <w:spacing w:after="0" w:line="240" w:lineRule="auto"/>
      </w:pPr>
      <w:r>
        <w:separator/>
      </w:r>
    </w:p>
  </w:endnote>
  <w:endnote w:type="continuationSeparator" w:id="0">
    <w:p w:rsidR="00C67BE9" w:rsidRDefault="00C67BE9" w:rsidP="00042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BE9" w:rsidRDefault="00C67BE9" w:rsidP="00042DC8">
      <w:pPr>
        <w:spacing w:after="0" w:line="240" w:lineRule="auto"/>
      </w:pPr>
      <w:r>
        <w:separator/>
      </w:r>
    </w:p>
  </w:footnote>
  <w:footnote w:type="continuationSeparator" w:id="0">
    <w:p w:rsidR="00C67BE9" w:rsidRDefault="00C67BE9" w:rsidP="00042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E5685"/>
    <w:multiLevelType w:val="hybridMultilevel"/>
    <w:tmpl w:val="7084DF74"/>
    <w:lvl w:ilvl="0" w:tplc="97FE6FD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500EAB"/>
    <w:multiLevelType w:val="hybridMultilevel"/>
    <w:tmpl w:val="FADC8D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C8"/>
    <w:rsid w:val="00042DC8"/>
    <w:rsid w:val="001D7EB0"/>
    <w:rsid w:val="00226435"/>
    <w:rsid w:val="002954C5"/>
    <w:rsid w:val="006A1706"/>
    <w:rsid w:val="006C1877"/>
    <w:rsid w:val="009314DA"/>
    <w:rsid w:val="00AA52D0"/>
    <w:rsid w:val="00C67BE9"/>
    <w:rsid w:val="00D9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DC8"/>
  </w:style>
  <w:style w:type="paragraph" w:styleId="Footer">
    <w:name w:val="footer"/>
    <w:basedOn w:val="Normal"/>
    <w:link w:val="FooterChar"/>
    <w:uiPriority w:val="99"/>
    <w:unhideWhenUsed/>
    <w:rsid w:val="00042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DC8"/>
  </w:style>
  <w:style w:type="paragraph" w:styleId="ListParagraph">
    <w:name w:val="List Paragraph"/>
    <w:basedOn w:val="Normal"/>
    <w:uiPriority w:val="34"/>
    <w:qFormat/>
    <w:rsid w:val="00226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43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314D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DC8"/>
  </w:style>
  <w:style w:type="paragraph" w:styleId="Footer">
    <w:name w:val="footer"/>
    <w:basedOn w:val="Normal"/>
    <w:link w:val="FooterChar"/>
    <w:uiPriority w:val="99"/>
    <w:unhideWhenUsed/>
    <w:rsid w:val="00042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DC8"/>
  </w:style>
  <w:style w:type="paragraph" w:styleId="ListParagraph">
    <w:name w:val="List Paragraph"/>
    <w:basedOn w:val="Normal"/>
    <w:uiPriority w:val="34"/>
    <w:qFormat/>
    <w:rsid w:val="00226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43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314D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endringd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b36a2e8-5d2d-4312-96da-671669d2c888" origin="defaultValue">
  <element uid="id_classification_nonbusiness" value=""/>
</sisl>
</file>

<file path=customXml/itemProps1.xml><?xml version="1.0" encoding="utf-8"?>
<ds:datastoreItem xmlns:ds="http://schemas.openxmlformats.org/officeDocument/2006/customXml" ds:itemID="{13A10F0B-77D8-47C0-9E73-A1560E94CEB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C4F04E37</Template>
  <TotalTime>0</TotalTime>
  <Pages>1</Pages>
  <Words>253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Tendring District Council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King</dc:creator>
  <cp:lastModifiedBy>Emma King</cp:lastModifiedBy>
  <cp:revision>2</cp:revision>
  <dcterms:created xsi:type="dcterms:W3CDTF">2018-04-13T13:58:00Z</dcterms:created>
  <dcterms:modified xsi:type="dcterms:W3CDTF">2018-04-13T13:58:00Z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dc18c617-bef2-4ff0-a8ee-322ca842ccf9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policy="1b36a2e8-5d2d-4312-96da-671669d2c888" origin="defaultValue" xmlns="http://www.boldonj</vt:lpwstr>
  </property>
  <property fmtid="{D5CDD505-2E9C-101B-9397-08002B2CF9AE}" pid="4" name="bjDocumentLabelXML-0">
    <vt:lpwstr>ames.com/2008/01/sie/internal/label"&gt;&lt;element uid="id_classification_nonbusiness" value="" /&gt;&lt;/sisl&gt;</vt:lpwstr>
  </property>
  <property fmtid="{D5CDD505-2E9C-101B-9397-08002B2CF9AE}" pid="5" name="bjDocumentSecurityLabel">
    <vt:lpwstr>OFFICIAL</vt:lpwstr>
  </property>
  <property fmtid="{D5CDD505-2E9C-101B-9397-08002B2CF9AE}" pid="6" name="bjSaver">
    <vt:lpwstr>23wWIee2/Eys9iJSjHvYfS0z9S9PdXez</vt:lpwstr>
  </property>
</Properties>
</file>